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61146" w14:textId="77777777" w:rsidR="00C821A3" w:rsidRPr="009366B7" w:rsidRDefault="00C821A3" w:rsidP="00C821A3">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t>
      </w:r>
      <w:r w:rsidRPr="008B70D0">
        <w:rPr>
          <w:rFonts w:ascii="Arial" w:hAnsi="Arial" w:cs="Arial"/>
          <w:color w:val="000000"/>
          <w:sz w:val="24"/>
          <w:szCs w:val="24"/>
          <w:highlight w:val="yellow"/>
        </w:rPr>
        <w:t>#</w:t>
      </w:r>
      <w:r>
        <w:rPr>
          <w:rFonts w:ascii="Arial" w:hAnsi="Arial" w:cs="Arial"/>
          <w:color w:val="000000"/>
          <w:sz w:val="24"/>
          <w:szCs w:val="24"/>
        </w:rPr>
        <w:t>].</w:t>
      </w:r>
      <w:r w:rsidRPr="009366B7">
        <w:rPr>
          <w:rFonts w:ascii="Arial" w:hAnsi="Arial" w:cs="Arial"/>
          <w:color w:val="000000"/>
          <w:sz w:val="24"/>
          <w:szCs w:val="24"/>
        </w:rPr>
        <w:t xml:space="preserve">Client shall defend, indemnify, and hold harmless DMC against any and all losses, damages, liabilities, deficiencies, claims, actions, judgments, settlements, interest, awards, penalties, fines, costs, or expenses of whatever kind, including reasonable attorney fees, arising out or resulting from any claim of a third party related to the potential exposure or contraction of a bacterial or viral disease (including the 2019 novel coronavirus disease) </w:t>
      </w:r>
      <w:r>
        <w:rPr>
          <w:rFonts w:ascii="Arial" w:hAnsi="Arial" w:cs="Arial"/>
          <w:color w:val="000000"/>
          <w:sz w:val="24"/>
          <w:szCs w:val="24"/>
        </w:rPr>
        <w:t>from the</w:t>
      </w:r>
      <w:r w:rsidRPr="009366B7">
        <w:rPr>
          <w:rFonts w:ascii="Arial" w:hAnsi="Arial" w:cs="Arial"/>
          <w:color w:val="000000"/>
          <w:sz w:val="24"/>
          <w:szCs w:val="24"/>
        </w:rPr>
        <w:t xml:space="preserve"> Event, including any claim related to Client’s own negligence or the ordinary negligence of the DMC. </w:t>
      </w:r>
    </w:p>
    <w:p w14:paraId="1FA174D6" w14:textId="77777777" w:rsidR="00C821A3" w:rsidRPr="009366B7" w:rsidRDefault="00C821A3" w:rsidP="00C821A3">
      <w:pPr>
        <w:widowControl w:val="0"/>
        <w:autoSpaceDE w:val="0"/>
        <w:autoSpaceDN w:val="0"/>
        <w:adjustRightInd w:val="0"/>
        <w:spacing w:after="0" w:line="240" w:lineRule="auto"/>
        <w:jc w:val="both"/>
        <w:rPr>
          <w:rFonts w:ascii="Arial" w:hAnsi="Arial" w:cs="Arial"/>
          <w:sz w:val="24"/>
          <w:szCs w:val="24"/>
        </w:rPr>
      </w:pPr>
      <w:r w:rsidRPr="009366B7">
        <w:rPr>
          <w:rFonts w:ascii="Arial" w:hAnsi="Arial" w:cs="Arial"/>
          <w:sz w:val="24"/>
          <w:szCs w:val="24"/>
        </w:rPr>
        <w:t>‌</w:t>
      </w:r>
      <w:r w:rsidRPr="009366B7">
        <w:rPr>
          <w:rFonts w:ascii="Arial" w:hAnsi="Arial" w:cs="Arial"/>
          <w:position w:val="4"/>
          <w:sz w:val="24"/>
          <w:szCs w:val="24"/>
          <w:u w:val="thick"/>
        </w:rPr>
        <w:t xml:space="preserve">                                                                                                                                       </w:t>
      </w:r>
      <w:r w:rsidRPr="009366B7">
        <w:rPr>
          <w:rFonts w:ascii="Arial" w:hAnsi="Arial" w:cs="Arial"/>
          <w:sz w:val="24"/>
          <w:szCs w:val="24"/>
        </w:rPr>
        <w:t>‌</w:t>
      </w:r>
    </w:p>
    <w:tbl>
      <w:tblPr>
        <w:tblW w:w="9364" w:type="dxa"/>
        <w:tblInd w:w="-10" w:type="dxa"/>
        <w:tblLayout w:type="fixed"/>
        <w:tblCellMar>
          <w:left w:w="0" w:type="dxa"/>
          <w:right w:w="0" w:type="dxa"/>
        </w:tblCellMar>
        <w:tblLook w:val="04A0" w:firstRow="1" w:lastRow="0" w:firstColumn="1" w:lastColumn="0" w:noHBand="0" w:noVBand="1"/>
      </w:tblPr>
      <w:tblGrid>
        <w:gridCol w:w="9364"/>
      </w:tblGrid>
      <w:tr w:rsidR="00C821A3" w:rsidRPr="009366B7" w14:paraId="7013D00B" w14:textId="77777777" w:rsidTr="006F41E2">
        <w:trPr>
          <w:trHeight w:val="1578"/>
        </w:trPr>
        <w:tc>
          <w:tcPr>
            <w:tcW w:w="9364" w:type="dxa"/>
            <w:tcBorders>
              <w:top w:val="dashed" w:sz="8" w:space="0" w:color="CCCCCC"/>
              <w:left w:val="dashed" w:sz="8" w:space="0" w:color="CCCCCC"/>
              <w:bottom w:val="dashed" w:sz="8" w:space="0" w:color="CCCCCC"/>
              <w:right w:val="dashed" w:sz="8" w:space="0" w:color="CCCCCC"/>
            </w:tcBorders>
            <w:shd w:val="clear" w:color="auto" w:fill="F7F7F7"/>
            <w:tcMar>
              <w:top w:w="283" w:type="dxa"/>
              <w:left w:w="283" w:type="dxa"/>
              <w:bottom w:w="283" w:type="dxa"/>
              <w:right w:w="283" w:type="dxa"/>
            </w:tcMar>
          </w:tcPr>
          <w:p w14:paraId="100BF762" w14:textId="77777777" w:rsidR="00C821A3" w:rsidRPr="00905EFF" w:rsidRDefault="00C821A3" w:rsidP="006F41E2">
            <w:pPr>
              <w:widowControl w:val="0"/>
              <w:autoSpaceDE w:val="0"/>
              <w:autoSpaceDN w:val="0"/>
              <w:adjustRightInd w:val="0"/>
              <w:spacing w:after="0" w:line="240" w:lineRule="auto"/>
              <w:jc w:val="both"/>
              <w:rPr>
                <w:rFonts w:ascii="Arial" w:hAnsi="Arial" w:cs="Arial"/>
                <w:b/>
                <w:bCs/>
                <w:sz w:val="24"/>
                <w:szCs w:val="24"/>
              </w:rPr>
            </w:pPr>
            <w:r w:rsidRPr="00905EFF">
              <w:rPr>
                <w:rFonts w:ascii="Arial" w:hAnsi="Arial" w:cs="Arial"/>
                <w:b/>
                <w:bCs/>
                <w:sz w:val="24"/>
                <w:szCs w:val="24"/>
              </w:rPr>
              <w:t>Drafting Note: Indemnification</w:t>
            </w:r>
          </w:p>
          <w:p w14:paraId="361E2293" w14:textId="77777777" w:rsidR="00C821A3" w:rsidRPr="00905EFF" w:rsidRDefault="00C821A3" w:rsidP="006F41E2">
            <w:pPr>
              <w:widowControl w:val="0"/>
              <w:autoSpaceDE w:val="0"/>
              <w:autoSpaceDN w:val="0"/>
              <w:adjustRightInd w:val="0"/>
              <w:spacing w:after="0" w:line="240" w:lineRule="auto"/>
              <w:jc w:val="both"/>
              <w:rPr>
                <w:rFonts w:ascii="Arial" w:hAnsi="Arial" w:cs="Arial"/>
                <w:sz w:val="24"/>
                <w:szCs w:val="24"/>
              </w:rPr>
            </w:pPr>
            <w:r w:rsidRPr="00905EFF">
              <w:rPr>
                <w:rFonts w:ascii="Arial" w:hAnsi="Arial" w:cs="Arial"/>
                <w:sz w:val="24"/>
                <w:szCs w:val="24"/>
              </w:rPr>
              <w:t xml:space="preserve">This is an indemnification provision, under which the </w:t>
            </w:r>
            <w:r>
              <w:rPr>
                <w:rFonts w:ascii="Arial" w:hAnsi="Arial" w:cs="Arial"/>
                <w:sz w:val="24"/>
                <w:szCs w:val="24"/>
              </w:rPr>
              <w:t>c</w:t>
            </w:r>
            <w:r w:rsidRPr="00905EFF">
              <w:rPr>
                <w:rFonts w:ascii="Arial" w:hAnsi="Arial" w:cs="Arial"/>
                <w:sz w:val="24"/>
                <w:szCs w:val="24"/>
              </w:rPr>
              <w:t xml:space="preserve">lient agrees to indemnify the DMC and any other released parties (e.g., vendors) from any losses incurred related to the disease due to the attendee participating in the </w:t>
            </w:r>
            <w:r>
              <w:rPr>
                <w:rFonts w:ascii="Arial" w:hAnsi="Arial" w:cs="Arial"/>
                <w:sz w:val="24"/>
                <w:szCs w:val="24"/>
              </w:rPr>
              <w:t>e</w:t>
            </w:r>
            <w:r w:rsidRPr="00905EFF">
              <w:rPr>
                <w:rFonts w:ascii="Arial" w:hAnsi="Arial" w:cs="Arial"/>
                <w:sz w:val="24"/>
                <w:szCs w:val="24"/>
              </w:rPr>
              <w:t xml:space="preserve">vent. </w:t>
            </w:r>
          </w:p>
          <w:p w14:paraId="3D212F2E" w14:textId="77777777" w:rsidR="00C821A3" w:rsidRPr="00905EFF" w:rsidRDefault="00C821A3" w:rsidP="006F41E2">
            <w:pPr>
              <w:widowControl w:val="0"/>
              <w:autoSpaceDE w:val="0"/>
              <w:autoSpaceDN w:val="0"/>
              <w:adjustRightInd w:val="0"/>
              <w:spacing w:after="0" w:line="240" w:lineRule="auto"/>
              <w:jc w:val="both"/>
              <w:rPr>
                <w:rFonts w:ascii="Arial" w:hAnsi="Arial" w:cs="Arial"/>
                <w:sz w:val="24"/>
                <w:szCs w:val="24"/>
              </w:rPr>
            </w:pPr>
          </w:p>
          <w:p w14:paraId="3D1BC004" w14:textId="77777777" w:rsidR="00C821A3" w:rsidRPr="00905EFF" w:rsidRDefault="00C821A3" w:rsidP="006F41E2">
            <w:pPr>
              <w:widowControl w:val="0"/>
              <w:autoSpaceDE w:val="0"/>
              <w:autoSpaceDN w:val="0"/>
              <w:adjustRightInd w:val="0"/>
              <w:spacing w:after="0" w:line="240" w:lineRule="auto"/>
              <w:jc w:val="both"/>
              <w:rPr>
                <w:rFonts w:ascii="Arial" w:hAnsi="Arial" w:cs="Arial"/>
                <w:sz w:val="24"/>
                <w:szCs w:val="24"/>
              </w:rPr>
            </w:pPr>
            <w:r w:rsidRPr="00905EFF">
              <w:rPr>
                <w:rFonts w:ascii="Arial" w:hAnsi="Arial" w:cs="Arial"/>
                <w:sz w:val="24"/>
                <w:szCs w:val="24"/>
              </w:rPr>
              <w:t xml:space="preserve">The DMC should carefully consider whether it wants to include this aggressive provision because it requires the </w:t>
            </w:r>
            <w:r>
              <w:rPr>
                <w:rFonts w:ascii="Arial" w:hAnsi="Arial" w:cs="Arial"/>
                <w:sz w:val="24"/>
                <w:szCs w:val="24"/>
              </w:rPr>
              <w:t>c</w:t>
            </w:r>
            <w:r w:rsidRPr="00905EFF">
              <w:rPr>
                <w:rFonts w:ascii="Arial" w:hAnsi="Arial" w:cs="Arial"/>
                <w:sz w:val="24"/>
                <w:szCs w:val="24"/>
              </w:rPr>
              <w:t xml:space="preserve">lient to indemnify the DMC for </w:t>
            </w:r>
            <w:r w:rsidRPr="00905EFF">
              <w:rPr>
                <w:rFonts w:ascii="Arial" w:hAnsi="Arial" w:cs="Arial"/>
                <w:i/>
                <w:iCs/>
                <w:sz w:val="24"/>
                <w:szCs w:val="24"/>
              </w:rPr>
              <w:t>any</w:t>
            </w:r>
            <w:r w:rsidRPr="00905EFF">
              <w:rPr>
                <w:rFonts w:ascii="Arial" w:hAnsi="Arial" w:cs="Arial"/>
                <w:sz w:val="24"/>
                <w:szCs w:val="24"/>
              </w:rPr>
              <w:t xml:space="preserve"> damages incurred by the DMC related to the attendee participating in the </w:t>
            </w:r>
            <w:r>
              <w:rPr>
                <w:rFonts w:ascii="Arial" w:hAnsi="Arial" w:cs="Arial"/>
                <w:sz w:val="24"/>
                <w:szCs w:val="24"/>
              </w:rPr>
              <w:t>e</w:t>
            </w:r>
            <w:r w:rsidRPr="00905EFF">
              <w:rPr>
                <w:rFonts w:ascii="Arial" w:hAnsi="Arial" w:cs="Arial"/>
                <w:sz w:val="24"/>
                <w:szCs w:val="24"/>
              </w:rPr>
              <w:t xml:space="preserve">vent regardless of who is at fault, which may include damages arising from the DMC’s own negligence. </w:t>
            </w:r>
          </w:p>
          <w:p w14:paraId="6CA23E28" w14:textId="77777777" w:rsidR="00C821A3" w:rsidRPr="00905EFF" w:rsidRDefault="00C821A3" w:rsidP="006F41E2">
            <w:pPr>
              <w:widowControl w:val="0"/>
              <w:autoSpaceDE w:val="0"/>
              <w:autoSpaceDN w:val="0"/>
              <w:adjustRightInd w:val="0"/>
              <w:spacing w:after="0" w:line="240" w:lineRule="auto"/>
              <w:jc w:val="both"/>
              <w:rPr>
                <w:rFonts w:ascii="Arial" w:hAnsi="Arial" w:cs="Arial"/>
                <w:sz w:val="24"/>
                <w:szCs w:val="24"/>
              </w:rPr>
            </w:pPr>
          </w:p>
          <w:p w14:paraId="2737632B" w14:textId="77777777" w:rsidR="00C821A3" w:rsidRPr="00905EFF" w:rsidRDefault="00C821A3" w:rsidP="006F41E2">
            <w:pPr>
              <w:widowControl w:val="0"/>
              <w:autoSpaceDE w:val="0"/>
              <w:autoSpaceDN w:val="0"/>
              <w:adjustRightInd w:val="0"/>
              <w:spacing w:after="0" w:line="240" w:lineRule="auto"/>
              <w:jc w:val="both"/>
              <w:rPr>
                <w:rFonts w:ascii="Arial" w:hAnsi="Arial" w:cs="Arial"/>
                <w:sz w:val="24"/>
                <w:szCs w:val="24"/>
              </w:rPr>
            </w:pPr>
            <w:r w:rsidRPr="00905EFF">
              <w:rPr>
                <w:rFonts w:ascii="Arial" w:hAnsi="Arial" w:cs="Arial"/>
                <w:sz w:val="24"/>
                <w:szCs w:val="24"/>
              </w:rPr>
              <w:t>The DMC should be aware that some states may not permit indemnification for one’s own negligence and those that do may require express and clear language that this is intended. Accordingly, if the DMC intends for this section to cover the DMC’s own negligence, the language at the end of this provision should be included, as permitted by applicable state law.</w:t>
            </w:r>
          </w:p>
          <w:p w14:paraId="12E42BFC" w14:textId="77777777" w:rsidR="00C821A3" w:rsidRPr="00905EFF" w:rsidRDefault="00C821A3" w:rsidP="006F41E2">
            <w:pPr>
              <w:widowControl w:val="0"/>
              <w:autoSpaceDE w:val="0"/>
              <w:autoSpaceDN w:val="0"/>
              <w:adjustRightInd w:val="0"/>
              <w:spacing w:after="0" w:line="240" w:lineRule="auto"/>
              <w:jc w:val="both"/>
              <w:rPr>
                <w:rFonts w:ascii="Arial" w:hAnsi="Arial" w:cs="Arial"/>
                <w:sz w:val="24"/>
                <w:szCs w:val="24"/>
              </w:rPr>
            </w:pPr>
          </w:p>
          <w:p w14:paraId="56782156" w14:textId="77777777" w:rsidR="00C821A3" w:rsidRPr="00905EFF" w:rsidRDefault="00C821A3" w:rsidP="006F41E2">
            <w:pPr>
              <w:widowControl w:val="0"/>
              <w:autoSpaceDE w:val="0"/>
              <w:autoSpaceDN w:val="0"/>
              <w:adjustRightInd w:val="0"/>
              <w:spacing w:after="0" w:line="240" w:lineRule="auto"/>
              <w:jc w:val="both"/>
              <w:rPr>
                <w:rFonts w:ascii="Arial" w:hAnsi="Arial" w:cs="Arial"/>
                <w:sz w:val="24"/>
                <w:szCs w:val="24"/>
              </w:rPr>
            </w:pPr>
            <w:r w:rsidRPr="00905EFF">
              <w:rPr>
                <w:rFonts w:ascii="Arial" w:hAnsi="Arial" w:cs="Arial"/>
                <w:sz w:val="24"/>
                <w:szCs w:val="24"/>
              </w:rPr>
              <w:t xml:space="preserve">Alternatively, the DMC can revise this provision to require the </w:t>
            </w:r>
            <w:r>
              <w:rPr>
                <w:rFonts w:ascii="Arial" w:hAnsi="Arial" w:cs="Arial"/>
                <w:sz w:val="24"/>
                <w:szCs w:val="24"/>
              </w:rPr>
              <w:t>c</w:t>
            </w:r>
            <w:r w:rsidRPr="00905EFF">
              <w:rPr>
                <w:rFonts w:ascii="Arial" w:hAnsi="Arial" w:cs="Arial"/>
                <w:sz w:val="24"/>
                <w:szCs w:val="24"/>
              </w:rPr>
              <w:t>lient to indemnify only if the DMC incurs losses resulting from the Client’s negligence or reckless behavior.</w:t>
            </w:r>
          </w:p>
          <w:p w14:paraId="59A3C252" w14:textId="77777777" w:rsidR="00C821A3" w:rsidRPr="00905EFF" w:rsidRDefault="00C821A3" w:rsidP="006F41E2">
            <w:pPr>
              <w:widowControl w:val="0"/>
              <w:autoSpaceDE w:val="0"/>
              <w:autoSpaceDN w:val="0"/>
              <w:adjustRightInd w:val="0"/>
              <w:spacing w:after="0" w:line="240" w:lineRule="auto"/>
              <w:jc w:val="both"/>
              <w:rPr>
                <w:rFonts w:ascii="Arial" w:hAnsi="Arial" w:cs="Arial"/>
                <w:sz w:val="24"/>
                <w:szCs w:val="24"/>
              </w:rPr>
            </w:pPr>
          </w:p>
          <w:p w14:paraId="7A62BB12" w14:textId="77777777" w:rsidR="00C821A3" w:rsidRPr="00905EFF" w:rsidRDefault="00C821A3" w:rsidP="006F41E2">
            <w:pPr>
              <w:widowControl w:val="0"/>
              <w:autoSpaceDE w:val="0"/>
              <w:autoSpaceDN w:val="0"/>
              <w:adjustRightInd w:val="0"/>
              <w:spacing w:after="0" w:line="240" w:lineRule="auto"/>
              <w:jc w:val="both"/>
              <w:rPr>
                <w:rFonts w:ascii="Arial" w:hAnsi="Arial" w:cs="Arial"/>
                <w:sz w:val="24"/>
                <w:szCs w:val="24"/>
              </w:rPr>
            </w:pPr>
            <w:r w:rsidRPr="00905EFF">
              <w:rPr>
                <w:rFonts w:ascii="Arial" w:hAnsi="Arial" w:cs="Arial"/>
                <w:sz w:val="24"/>
                <w:szCs w:val="24"/>
              </w:rPr>
              <w:t>In deciding whether to include this section, the DMC should consider that the practical benefits of including an indemnification clause in this liability waiver may be limited because, for example:</w:t>
            </w:r>
          </w:p>
          <w:p w14:paraId="38AFA856" w14:textId="77777777" w:rsidR="00C821A3" w:rsidRPr="00905EFF" w:rsidRDefault="00C821A3" w:rsidP="00C821A3">
            <w:pPr>
              <w:widowControl w:val="0"/>
              <w:numPr>
                <w:ilvl w:val="0"/>
                <w:numId w:val="1"/>
              </w:numPr>
              <w:autoSpaceDE w:val="0"/>
              <w:autoSpaceDN w:val="0"/>
              <w:adjustRightInd w:val="0"/>
              <w:spacing w:before="160" w:after="180" w:line="240" w:lineRule="auto"/>
              <w:ind w:left="480" w:hanging="360"/>
              <w:jc w:val="both"/>
              <w:rPr>
                <w:rFonts w:ascii="Arial" w:hAnsi="Arial" w:cs="Arial"/>
                <w:sz w:val="24"/>
                <w:szCs w:val="24"/>
              </w:rPr>
            </w:pPr>
            <w:r w:rsidRPr="00905EFF">
              <w:rPr>
                <w:rFonts w:ascii="Arial" w:hAnsi="Arial" w:cs="Arial"/>
                <w:sz w:val="24"/>
                <w:szCs w:val="24"/>
              </w:rPr>
              <w:t>It may be difficult to determine who owes the indemnity to the DMC for losses deriving from a third-party disease-related claim because of the difficulty of establishing the facts underlying the claim.</w:t>
            </w:r>
          </w:p>
          <w:p w14:paraId="45D9BC64" w14:textId="77777777" w:rsidR="00C821A3" w:rsidRPr="00905EFF" w:rsidRDefault="00C821A3" w:rsidP="00C821A3">
            <w:pPr>
              <w:widowControl w:val="0"/>
              <w:numPr>
                <w:ilvl w:val="0"/>
                <w:numId w:val="2"/>
              </w:numPr>
              <w:autoSpaceDE w:val="0"/>
              <w:autoSpaceDN w:val="0"/>
              <w:adjustRightInd w:val="0"/>
              <w:spacing w:before="160" w:after="180" w:line="240" w:lineRule="auto"/>
              <w:ind w:left="480" w:hanging="360"/>
              <w:jc w:val="both"/>
              <w:rPr>
                <w:rFonts w:ascii="Arial" w:hAnsi="Arial" w:cs="Arial"/>
                <w:sz w:val="24"/>
                <w:szCs w:val="24"/>
              </w:rPr>
            </w:pPr>
            <w:r w:rsidRPr="00905EFF">
              <w:rPr>
                <w:rFonts w:ascii="Arial" w:hAnsi="Arial" w:cs="Arial"/>
                <w:sz w:val="24"/>
                <w:szCs w:val="24"/>
              </w:rPr>
              <w:t xml:space="preserve">Even if the DMC succeeds on an indemnification claim, it may be unable to collect on its judgment if the </w:t>
            </w:r>
            <w:r>
              <w:rPr>
                <w:rFonts w:ascii="Arial" w:hAnsi="Arial" w:cs="Arial"/>
                <w:sz w:val="24"/>
                <w:szCs w:val="24"/>
              </w:rPr>
              <w:t>c</w:t>
            </w:r>
            <w:r w:rsidRPr="00905EFF">
              <w:rPr>
                <w:rFonts w:ascii="Arial" w:hAnsi="Arial" w:cs="Arial"/>
                <w:sz w:val="24"/>
                <w:szCs w:val="24"/>
              </w:rPr>
              <w:t>lient does not have enough assets to satisfy the judgment.</w:t>
            </w:r>
          </w:p>
          <w:p w14:paraId="4D1D174D" w14:textId="77777777" w:rsidR="00C821A3" w:rsidRPr="00A05473" w:rsidRDefault="00C821A3" w:rsidP="006F41E2">
            <w:pPr>
              <w:widowControl w:val="0"/>
              <w:autoSpaceDE w:val="0"/>
              <w:autoSpaceDN w:val="0"/>
              <w:adjustRightInd w:val="0"/>
              <w:spacing w:before="180" w:after="0" w:line="240" w:lineRule="auto"/>
              <w:jc w:val="both"/>
              <w:rPr>
                <w:rFonts w:ascii="Arial" w:hAnsi="Arial" w:cs="Arial"/>
                <w:color w:val="000000"/>
                <w:sz w:val="24"/>
                <w:szCs w:val="24"/>
              </w:rPr>
            </w:pPr>
            <w:r w:rsidRPr="00905EFF">
              <w:rPr>
                <w:rFonts w:ascii="Arial" w:hAnsi="Arial" w:cs="Arial"/>
                <w:sz w:val="24"/>
                <w:szCs w:val="24"/>
              </w:rPr>
              <w:t xml:space="preserve">Therefore, the benefits of including this section may not outweigh the potential disadvantages, such as a </w:t>
            </w:r>
            <w:r>
              <w:rPr>
                <w:rFonts w:ascii="Arial" w:hAnsi="Arial" w:cs="Arial"/>
                <w:sz w:val="24"/>
                <w:szCs w:val="24"/>
              </w:rPr>
              <w:t>c</w:t>
            </w:r>
            <w:r w:rsidRPr="00905EFF">
              <w:rPr>
                <w:rFonts w:ascii="Arial" w:hAnsi="Arial" w:cs="Arial"/>
                <w:sz w:val="24"/>
                <w:szCs w:val="24"/>
              </w:rPr>
              <w:t xml:space="preserve">lient </w:t>
            </w:r>
            <w:r>
              <w:rPr>
                <w:rFonts w:ascii="Arial" w:hAnsi="Arial" w:cs="Arial"/>
                <w:sz w:val="24"/>
                <w:szCs w:val="24"/>
              </w:rPr>
              <w:t xml:space="preserve">ultimately </w:t>
            </w:r>
            <w:r w:rsidRPr="00905EFF">
              <w:rPr>
                <w:rFonts w:ascii="Arial" w:hAnsi="Arial" w:cs="Arial"/>
                <w:sz w:val="24"/>
                <w:szCs w:val="24"/>
              </w:rPr>
              <w:t>refusing to sign the event service agreement because of the indemnification clause.</w:t>
            </w:r>
          </w:p>
        </w:tc>
      </w:tr>
    </w:tbl>
    <w:p w14:paraId="023051F1" w14:textId="77777777" w:rsidR="00C821A3" w:rsidRPr="009366B7" w:rsidRDefault="00C821A3" w:rsidP="00C821A3">
      <w:pPr>
        <w:widowControl w:val="0"/>
        <w:autoSpaceDE w:val="0"/>
        <w:autoSpaceDN w:val="0"/>
        <w:adjustRightInd w:val="0"/>
        <w:spacing w:after="0" w:line="240" w:lineRule="auto"/>
        <w:jc w:val="both"/>
        <w:rPr>
          <w:rFonts w:ascii="Arial" w:hAnsi="Arial" w:cs="Arial"/>
          <w:sz w:val="24"/>
          <w:szCs w:val="24"/>
        </w:rPr>
      </w:pPr>
      <w:r w:rsidRPr="009366B7">
        <w:rPr>
          <w:rFonts w:ascii="Arial" w:hAnsi="Arial" w:cs="Arial"/>
          <w:sz w:val="24"/>
          <w:szCs w:val="24"/>
        </w:rPr>
        <w:t>‌</w:t>
      </w:r>
      <w:r w:rsidRPr="009366B7">
        <w:rPr>
          <w:rFonts w:ascii="Arial" w:hAnsi="Arial" w:cs="Arial"/>
          <w:position w:val="4"/>
          <w:sz w:val="24"/>
          <w:szCs w:val="24"/>
          <w:u w:val="thick"/>
        </w:rPr>
        <w:t xml:space="preserve">                                                                                                                                       </w:t>
      </w:r>
      <w:r w:rsidRPr="009366B7">
        <w:rPr>
          <w:rFonts w:ascii="Arial" w:hAnsi="Arial" w:cs="Arial"/>
          <w:sz w:val="24"/>
          <w:szCs w:val="24"/>
        </w:rPr>
        <w:t>‌</w:t>
      </w:r>
    </w:p>
    <w:p w14:paraId="0DD8F2A0" w14:textId="3A9BB30A" w:rsidR="00A924FE" w:rsidRPr="00C821A3" w:rsidRDefault="00A924FE" w:rsidP="00C821A3"/>
    <w:sectPr w:rsidR="00A924FE" w:rsidRPr="00C82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8F930E"/>
    <w:multiLevelType w:val="singleLevel"/>
    <w:tmpl w:val="B3462512"/>
    <w:lvl w:ilvl="0">
      <w:numFmt w:val="decimal"/>
      <w:lvlText w:val="•"/>
      <w:lvlJc w:val="left"/>
    </w:lvl>
  </w:abstractNum>
  <w:abstractNum w:abstractNumId="1" w15:restartNumberingAfterBreak="0">
    <w:nsid w:val="F7D8114A"/>
    <w:multiLevelType w:val="singleLevel"/>
    <w:tmpl w:val="6381B3C7"/>
    <w:lvl w:ilvl="0">
      <w:numFmt w:val="decimal"/>
      <w:lvlText w:val="•"/>
      <w:lvlJc w:val="left"/>
    </w:lvl>
  </w:abstractNum>
  <w:abstractNum w:abstractNumId="2" w15:restartNumberingAfterBreak="0">
    <w:nsid w:val="04EA2679"/>
    <w:multiLevelType w:val="singleLevel"/>
    <w:tmpl w:val="5B0F0136"/>
    <w:lvl w:ilvl="0">
      <w:numFmt w:val="decimal"/>
      <w:lvlText w:val="•"/>
      <w:lvlJc w:val="left"/>
    </w:lvl>
  </w:abstractNum>
  <w:abstractNum w:abstractNumId="3" w15:restartNumberingAfterBreak="0">
    <w:nsid w:val="4694945C"/>
    <w:multiLevelType w:val="singleLevel"/>
    <w:tmpl w:val="E3019D34"/>
    <w:lvl w:ilvl="0">
      <w:numFmt w:val="decimal"/>
      <w:lvlText w:val="•"/>
      <w:lvlJc w:val="left"/>
    </w:lvl>
  </w:abstractNum>
  <w:abstractNum w:abstractNumId="4" w15:restartNumberingAfterBreak="0">
    <w:nsid w:val="480A6D30"/>
    <w:multiLevelType w:val="singleLevel"/>
    <w:tmpl w:val="416C3F9D"/>
    <w:lvl w:ilvl="0">
      <w:numFmt w:val="decimal"/>
      <w:lvlText w:val="•"/>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FE"/>
    <w:rsid w:val="000525E1"/>
    <w:rsid w:val="001535DE"/>
    <w:rsid w:val="003236E4"/>
    <w:rsid w:val="00375F49"/>
    <w:rsid w:val="003B5AB3"/>
    <w:rsid w:val="003E0D9F"/>
    <w:rsid w:val="005471B0"/>
    <w:rsid w:val="006E4D9B"/>
    <w:rsid w:val="00702F23"/>
    <w:rsid w:val="007B3854"/>
    <w:rsid w:val="00837224"/>
    <w:rsid w:val="008B207B"/>
    <w:rsid w:val="008C3CAD"/>
    <w:rsid w:val="008E2A00"/>
    <w:rsid w:val="009366B7"/>
    <w:rsid w:val="009F238E"/>
    <w:rsid w:val="00A05473"/>
    <w:rsid w:val="00A76688"/>
    <w:rsid w:val="00A924FE"/>
    <w:rsid w:val="00A93218"/>
    <w:rsid w:val="00AE6C35"/>
    <w:rsid w:val="00B07982"/>
    <w:rsid w:val="00C821A3"/>
    <w:rsid w:val="00E27CF7"/>
    <w:rsid w:val="00E9088E"/>
    <w:rsid w:val="00F85210"/>
    <w:rsid w:val="00FF3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6D8C"/>
  <w15:chartTrackingRefBased/>
  <w15:docId w15:val="{73C44370-5407-4B06-9386-DF156B63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4F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Cataudella</dc:creator>
  <cp:keywords/>
  <dc:description/>
  <cp:lastModifiedBy>Paul Cataudella</cp:lastModifiedBy>
  <cp:revision>5</cp:revision>
  <dcterms:created xsi:type="dcterms:W3CDTF">2020-07-11T16:34:00Z</dcterms:created>
  <dcterms:modified xsi:type="dcterms:W3CDTF">2020-07-17T13:55:00Z</dcterms:modified>
</cp:coreProperties>
</file>